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10F9" w14:textId="77777777" w:rsidR="008B4091" w:rsidRDefault="008B4091">
      <w:pPr>
        <w:spacing w:after="480"/>
      </w:pPr>
    </w:p>
    <w:p w14:paraId="640FC804" w14:textId="77777777" w:rsidR="008B4091" w:rsidRDefault="00F5387D">
      <w:pPr>
        <w:spacing w:after="60"/>
        <w:jc w:val="center"/>
      </w:pPr>
      <w:r>
        <w:rPr>
          <w:b/>
          <w:bCs/>
          <w:color w:val="888888"/>
          <w:sz w:val="22"/>
          <w:szCs w:val="22"/>
        </w:rPr>
        <w:t>UNIVERSIDAD DEL MUSEO SOCIAL ARGENTINO</w:t>
      </w:r>
    </w:p>
    <w:p w14:paraId="4C793E0F" w14:textId="77777777" w:rsidR="008B4091" w:rsidRDefault="00F5387D">
      <w:pPr>
        <w:spacing w:after="60"/>
        <w:jc w:val="center"/>
      </w:pPr>
      <w:r>
        <w:rPr>
          <w:color w:val="888888"/>
          <w:sz w:val="22"/>
          <w:szCs w:val="22"/>
        </w:rPr>
        <w:t>Carrera de Intérprete de Conferencia en Idioma Inglés</w:t>
      </w:r>
    </w:p>
    <w:p w14:paraId="624EA1E9" w14:textId="77777777" w:rsidR="008B4091" w:rsidRDefault="00F5387D">
      <w:pPr>
        <w:spacing w:after="60"/>
        <w:jc w:val="center"/>
      </w:pPr>
      <w:r>
        <w:rPr>
          <w:color w:val="888888"/>
          <w:sz w:val="22"/>
          <w:szCs w:val="22"/>
        </w:rPr>
        <w:t>Cátedra: Interpretación Simultánea — Tercer Año</w:t>
      </w:r>
    </w:p>
    <w:p w14:paraId="7DA64706" w14:textId="77777777" w:rsidR="008B4091" w:rsidRDefault="008B4091">
      <w:pPr>
        <w:spacing w:after="360"/>
      </w:pPr>
    </w:p>
    <w:p w14:paraId="6EFFBA25" w14:textId="77777777" w:rsidR="008B4091" w:rsidRDefault="00F5387D">
      <w:pPr>
        <w:pBdr>
          <w:top w:val="single" w:sz="12" w:space="10" w:color="2E75B6"/>
          <w:bottom w:val="single" w:sz="12" w:space="10" w:color="2E75B6"/>
        </w:pBdr>
        <w:spacing w:after="80"/>
        <w:jc w:val="center"/>
      </w:pPr>
      <w:r>
        <w:rPr>
          <w:b/>
          <w:bCs/>
          <w:color w:val="1F4E79"/>
          <w:sz w:val="40"/>
          <w:szCs w:val="40"/>
        </w:rPr>
        <w:t>INFORME DE ACTIVIDAD DE INTERNACIONALIZACIÓN</w:t>
      </w:r>
    </w:p>
    <w:p w14:paraId="63951F24" w14:textId="77777777" w:rsidR="008B4091" w:rsidRDefault="008B4091">
      <w:pPr>
        <w:spacing w:after="160"/>
      </w:pPr>
    </w:p>
    <w:p w14:paraId="6AD89219" w14:textId="77777777" w:rsidR="008B4091" w:rsidRDefault="00F5387D">
      <w:pPr>
        <w:spacing w:after="60"/>
        <w:jc w:val="center"/>
      </w:pPr>
      <w:r>
        <w:rPr>
          <w:color w:val="444444"/>
          <w:sz w:val="26"/>
          <w:szCs w:val="26"/>
        </w:rPr>
        <w:t>Intercambio cultural virtual con el</w:t>
      </w:r>
    </w:p>
    <w:p w14:paraId="1169CA1D" w14:textId="77777777" w:rsidR="008B4091" w:rsidRDefault="00F5387D">
      <w:pPr>
        <w:spacing w:after="60"/>
        <w:jc w:val="center"/>
      </w:pPr>
      <w:proofErr w:type="spellStart"/>
      <w:r>
        <w:rPr>
          <w:b/>
          <w:bCs/>
          <w:color w:val="2E75B6"/>
          <w:sz w:val="30"/>
          <w:szCs w:val="30"/>
        </w:rPr>
        <w:t>Collège</w:t>
      </w:r>
      <w:proofErr w:type="spellEnd"/>
      <w:r>
        <w:rPr>
          <w:b/>
          <w:bCs/>
          <w:color w:val="2E75B6"/>
          <w:sz w:val="30"/>
          <w:szCs w:val="30"/>
        </w:rPr>
        <w:t xml:space="preserve"> Montmorency — Quebec, Canadá</w:t>
      </w:r>
    </w:p>
    <w:p w14:paraId="227B65EC" w14:textId="77777777" w:rsidR="008B4091" w:rsidRDefault="008B4091">
      <w:pPr>
        <w:spacing w:after="480"/>
      </w:pPr>
    </w:p>
    <w:p w14:paraId="7301C8BA" w14:textId="437767CD" w:rsidR="008B4091" w:rsidRDefault="00F5387D">
      <w:pPr>
        <w:spacing w:after="60"/>
        <w:jc w:val="center"/>
      </w:pPr>
      <w:r>
        <w:rPr>
          <w:color w:val="888888"/>
          <w:sz w:val="22"/>
          <w:szCs w:val="22"/>
        </w:rPr>
        <w:t xml:space="preserve">Buenos Aires, </w:t>
      </w:r>
      <w:r w:rsidRPr="00DD2829">
        <w:rPr>
          <w:color w:val="888888"/>
          <w:sz w:val="22"/>
          <w:szCs w:val="22"/>
          <w:highlight w:val="yellow"/>
        </w:rPr>
        <w:t>202</w:t>
      </w:r>
      <w:r w:rsidR="00DD2829" w:rsidRPr="00DD2829">
        <w:rPr>
          <w:color w:val="888888"/>
          <w:sz w:val="22"/>
          <w:szCs w:val="22"/>
          <w:highlight w:val="yellow"/>
        </w:rPr>
        <w:t>6</w:t>
      </w:r>
    </w:p>
    <w:p w14:paraId="267E780A" w14:textId="77777777" w:rsidR="008B4091" w:rsidRDefault="008B4091">
      <w:pPr>
        <w:spacing w:after="1200"/>
      </w:pPr>
    </w:p>
    <w:p w14:paraId="5CCFE3D5" w14:textId="77777777" w:rsidR="008B4091" w:rsidRDefault="00F5387D">
      <w:pPr>
        <w:pBdr>
          <w:bottom w:val="single" w:sz="4" w:space="4" w:color="BDD7EE"/>
        </w:pBdr>
        <w:spacing w:before="320" w:after="100"/>
      </w:pPr>
      <w:r>
        <w:rPr>
          <w:b/>
          <w:bCs/>
          <w:color w:val="2E75B6"/>
          <w:sz w:val="28"/>
          <w:szCs w:val="28"/>
        </w:rPr>
        <w:t>1. Datos generales de la actividad</w:t>
      </w:r>
    </w:p>
    <w:p w14:paraId="2E64582B" w14:textId="77777777" w:rsidR="008B4091" w:rsidRDefault="008B4091">
      <w:pPr>
        <w:spacing w:after="8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B4091" w14:paraId="5FBDCD20" w14:textId="77777777">
        <w:tc>
          <w:tcPr>
            <w:tcW w:w="3120" w:type="dxa"/>
            <w:tcBorders>
              <w:top w:val="single" w:sz="1" w:space="0" w:color="BDD7EE"/>
              <w:left w:val="single" w:sz="1" w:space="0" w:color="BDD7EE"/>
              <w:bottom w:val="single" w:sz="1" w:space="0" w:color="BDD7EE"/>
              <w:right w:val="single" w:sz="1" w:space="0" w:color="BDD7EE"/>
            </w:tcBorders>
            <w:shd w:val="clear" w:color="auto" w:fill="1F4E79"/>
            <w:tcMar>
              <w:top w:w="100" w:type="dxa"/>
              <w:left w:w="150" w:type="dxa"/>
              <w:bottom w:w="100" w:type="dxa"/>
              <w:right w:w="150" w:type="dxa"/>
            </w:tcMar>
          </w:tcPr>
          <w:p w14:paraId="5A9731C7" w14:textId="77777777" w:rsidR="008B4091" w:rsidRDefault="00F5387D">
            <w:pPr>
              <w:jc w:val="center"/>
            </w:pPr>
            <w:r>
              <w:rPr>
                <w:b/>
                <w:bCs/>
                <w:color w:val="FFFFFF"/>
                <w:sz w:val="22"/>
                <w:szCs w:val="22"/>
              </w:rPr>
              <w:t>Dato</w:t>
            </w:r>
          </w:p>
        </w:tc>
        <w:tc>
          <w:tcPr>
            <w:tcW w:w="3120" w:type="dxa"/>
            <w:tcBorders>
              <w:top w:val="single" w:sz="1" w:space="0" w:color="BDD7EE"/>
              <w:left w:val="single" w:sz="1" w:space="0" w:color="BDD7EE"/>
              <w:bottom w:val="single" w:sz="1" w:space="0" w:color="BDD7EE"/>
              <w:right w:val="single" w:sz="1" w:space="0" w:color="BDD7EE"/>
            </w:tcBorders>
            <w:shd w:val="clear" w:color="auto" w:fill="1F4E79"/>
            <w:tcMar>
              <w:top w:w="100" w:type="dxa"/>
              <w:left w:w="150" w:type="dxa"/>
              <w:bottom w:w="100" w:type="dxa"/>
              <w:right w:w="150" w:type="dxa"/>
            </w:tcMar>
          </w:tcPr>
          <w:p w14:paraId="755D760F" w14:textId="77777777" w:rsidR="008B4091" w:rsidRDefault="00F5387D">
            <w:pPr>
              <w:jc w:val="center"/>
            </w:pPr>
            <w:r>
              <w:rPr>
                <w:b/>
                <w:bCs/>
                <w:color w:val="FFFFFF"/>
                <w:sz w:val="22"/>
                <w:szCs w:val="22"/>
              </w:rPr>
              <w:t>UMSA</w:t>
            </w:r>
          </w:p>
        </w:tc>
        <w:tc>
          <w:tcPr>
            <w:tcW w:w="3120" w:type="dxa"/>
            <w:tcBorders>
              <w:top w:val="single" w:sz="1" w:space="0" w:color="BDD7EE"/>
              <w:left w:val="single" w:sz="1" w:space="0" w:color="BDD7EE"/>
              <w:bottom w:val="single" w:sz="1" w:space="0" w:color="BDD7EE"/>
              <w:right w:val="single" w:sz="1" w:space="0" w:color="BDD7EE"/>
            </w:tcBorders>
            <w:shd w:val="clear" w:color="auto" w:fill="1F4E79"/>
            <w:tcMar>
              <w:top w:w="100" w:type="dxa"/>
              <w:left w:w="150" w:type="dxa"/>
              <w:bottom w:w="100" w:type="dxa"/>
              <w:right w:w="150" w:type="dxa"/>
            </w:tcMar>
          </w:tcPr>
          <w:p w14:paraId="1D870454" w14:textId="77777777" w:rsidR="008B4091" w:rsidRDefault="00F5387D">
            <w:pPr>
              <w:jc w:val="center"/>
            </w:pPr>
            <w:r>
              <w:rPr>
                <w:b/>
                <w:bCs/>
                <w:color w:val="FFFFFF"/>
                <w:sz w:val="22"/>
                <w:szCs w:val="22"/>
              </w:rPr>
              <w:t>College Montmorency</w:t>
            </w:r>
          </w:p>
        </w:tc>
      </w:tr>
      <w:tr w:rsidR="008B4091" w14:paraId="6B578D9A" w14:textId="77777777">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0F7330D3" w14:textId="77777777" w:rsidR="008B4091" w:rsidRDefault="00F5387D">
            <w:r>
              <w:rPr>
                <w:sz w:val="22"/>
                <w:szCs w:val="22"/>
              </w:rPr>
              <w:t>País</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5124CD37" w14:textId="77777777" w:rsidR="008B4091" w:rsidRDefault="00F5387D">
            <w:r>
              <w:rPr>
                <w:sz w:val="22"/>
                <w:szCs w:val="22"/>
              </w:rPr>
              <w:t>Argentina</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0BE1AA86" w14:textId="77777777" w:rsidR="008B4091" w:rsidRDefault="00F5387D">
            <w:r>
              <w:rPr>
                <w:sz w:val="22"/>
                <w:szCs w:val="22"/>
              </w:rPr>
              <w:t>Canadá (Quebec)</w:t>
            </w:r>
          </w:p>
        </w:tc>
      </w:tr>
      <w:tr w:rsidR="008B4091" w14:paraId="4548E47A" w14:textId="77777777">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18E02C42" w14:textId="77777777" w:rsidR="008B4091" w:rsidRDefault="00F5387D">
            <w:r>
              <w:rPr>
                <w:sz w:val="22"/>
                <w:szCs w:val="22"/>
              </w:rPr>
              <w:t>Ciudad</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6B0E9540" w14:textId="77777777" w:rsidR="008B4091" w:rsidRDefault="00F5387D">
            <w:r>
              <w:rPr>
                <w:sz w:val="22"/>
                <w:szCs w:val="22"/>
              </w:rPr>
              <w:t>Buenos Aires</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298097B6" w14:textId="77777777" w:rsidR="008B4091" w:rsidRDefault="00F5387D">
            <w:r>
              <w:rPr>
                <w:sz w:val="22"/>
                <w:szCs w:val="22"/>
              </w:rPr>
              <w:t>Laval, Quebec</w:t>
            </w:r>
          </w:p>
        </w:tc>
      </w:tr>
      <w:tr w:rsidR="008B4091" w14:paraId="1A856105" w14:textId="77777777">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1872017A" w14:textId="77777777" w:rsidR="008B4091" w:rsidRDefault="00F5387D">
            <w:r>
              <w:rPr>
                <w:sz w:val="22"/>
                <w:szCs w:val="22"/>
              </w:rPr>
              <w:t>Carrera / Programa</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68AF6109" w14:textId="77777777" w:rsidR="008B4091" w:rsidRDefault="00F5387D">
            <w:r>
              <w:rPr>
                <w:sz w:val="22"/>
                <w:szCs w:val="22"/>
              </w:rPr>
              <w:t>Intérprete de Conferencia (inglés)</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2B2A8D8F" w14:textId="18BDBF5B" w:rsidR="008B4091" w:rsidRDefault="0016719C">
            <w:r>
              <w:t xml:space="preserve">Lenguas Modernas </w:t>
            </w:r>
          </w:p>
        </w:tc>
      </w:tr>
      <w:tr w:rsidR="008B4091" w14:paraId="71FF0528" w14:textId="77777777">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09E7CDE4" w14:textId="77777777" w:rsidR="008B4091" w:rsidRDefault="00F5387D">
            <w:r>
              <w:rPr>
                <w:sz w:val="22"/>
                <w:szCs w:val="22"/>
              </w:rPr>
              <w:t>Cátedra / Materia</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1CD26BD6" w14:textId="77777777" w:rsidR="008B4091" w:rsidRDefault="00F5387D">
            <w:r>
              <w:rPr>
                <w:sz w:val="22"/>
                <w:szCs w:val="22"/>
              </w:rPr>
              <w:t>Interpretación Simultánea</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4F7FB992" w14:textId="02B1A95C" w:rsidR="008B4091" w:rsidRDefault="006305E6">
            <w:r>
              <w:t xml:space="preserve">Español </w:t>
            </w:r>
          </w:p>
        </w:tc>
      </w:tr>
      <w:tr w:rsidR="008B4091" w14:paraId="7F956CF6" w14:textId="77777777">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5F75B7AE" w14:textId="77777777" w:rsidR="008B4091" w:rsidRDefault="00F5387D">
            <w:r>
              <w:rPr>
                <w:sz w:val="22"/>
                <w:szCs w:val="22"/>
              </w:rPr>
              <w:t>Año de cursada</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42147AA2" w14:textId="77777777" w:rsidR="008B4091" w:rsidRDefault="00F5387D">
            <w:r>
              <w:rPr>
                <w:sz w:val="22"/>
                <w:szCs w:val="22"/>
              </w:rPr>
              <w:t>Tercer año</w:t>
            </w:r>
          </w:p>
        </w:tc>
        <w:tc>
          <w:tcPr>
            <w:tcW w:w="3120" w:type="dxa"/>
            <w:tcBorders>
              <w:top w:val="single" w:sz="1" w:space="0" w:color="BDD7EE"/>
              <w:left w:val="single" w:sz="1" w:space="0" w:color="BDD7EE"/>
              <w:bottom w:val="single" w:sz="1" w:space="0" w:color="BDD7EE"/>
              <w:right w:val="single" w:sz="1" w:space="0" w:color="BDD7EE"/>
            </w:tcBorders>
            <w:shd w:val="clear" w:color="auto" w:fill="EBF3FB"/>
            <w:tcMar>
              <w:top w:w="80" w:type="dxa"/>
              <w:left w:w="150" w:type="dxa"/>
              <w:bottom w:w="80" w:type="dxa"/>
              <w:right w:w="150" w:type="dxa"/>
            </w:tcMar>
          </w:tcPr>
          <w:p w14:paraId="26B16C53" w14:textId="35B76785" w:rsidR="008B4091" w:rsidRDefault="00DD2829">
            <w:r w:rsidRPr="00DD2829">
              <w:rPr>
                <w:sz w:val="22"/>
                <w:szCs w:val="22"/>
                <w:highlight w:val="yellow"/>
              </w:rPr>
              <w:t>Segundo</w:t>
            </w:r>
            <w:r>
              <w:rPr>
                <w:sz w:val="22"/>
                <w:szCs w:val="22"/>
              </w:rPr>
              <w:t xml:space="preserve"> </w:t>
            </w:r>
            <w:r w:rsidR="00F5387D">
              <w:rPr>
                <w:sz w:val="22"/>
                <w:szCs w:val="22"/>
              </w:rPr>
              <w:t>año</w:t>
            </w:r>
          </w:p>
        </w:tc>
      </w:tr>
      <w:tr w:rsidR="008B4091" w14:paraId="5B36E7F8" w14:textId="77777777">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22821E24" w14:textId="77777777" w:rsidR="008B4091" w:rsidRDefault="00F5387D">
            <w:r>
              <w:rPr>
                <w:sz w:val="22"/>
                <w:szCs w:val="22"/>
              </w:rPr>
              <w:t>Modalidad</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74CB1FD2" w14:textId="77777777" w:rsidR="008B4091" w:rsidRDefault="00F5387D">
            <w:r>
              <w:rPr>
                <w:sz w:val="22"/>
                <w:szCs w:val="22"/>
              </w:rPr>
              <w:t>Virtual (Zoom / Meet)</w:t>
            </w:r>
          </w:p>
        </w:tc>
        <w:tc>
          <w:tcPr>
            <w:tcW w:w="3120" w:type="dxa"/>
            <w:tcBorders>
              <w:top w:val="single" w:sz="1" w:space="0" w:color="BDD7EE"/>
              <w:left w:val="single" w:sz="1" w:space="0" w:color="BDD7EE"/>
              <w:bottom w:val="single" w:sz="1" w:space="0" w:color="BDD7EE"/>
              <w:right w:val="single" w:sz="1" w:space="0" w:color="BDD7EE"/>
            </w:tcBorders>
            <w:shd w:val="clear" w:color="auto" w:fill="FFFFFF"/>
            <w:tcMar>
              <w:top w:w="80" w:type="dxa"/>
              <w:left w:w="150" w:type="dxa"/>
              <w:bottom w:w="80" w:type="dxa"/>
              <w:right w:w="150" w:type="dxa"/>
            </w:tcMar>
          </w:tcPr>
          <w:p w14:paraId="2F90A5D7" w14:textId="77777777" w:rsidR="008B4091" w:rsidRDefault="00F5387D">
            <w:r>
              <w:rPr>
                <w:sz w:val="22"/>
                <w:szCs w:val="22"/>
              </w:rPr>
              <w:t>Virtual (Zoom / Meet)</w:t>
            </w:r>
          </w:p>
        </w:tc>
      </w:tr>
    </w:tbl>
    <w:p w14:paraId="646DFE24" w14:textId="77777777" w:rsidR="008B4091" w:rsidRDefault="008B4091">
      <w:pPr>
        <w:spacing w:after="200"/>
      </w:pPr>
    </w:p>
    <w:p w14:paraId="6ABB9E3E" w14:textId="77777777" w:rsidR="008B4091" w:rsidRDefault="00F5387D">
      <w:pPr>
        <w:pBdr>
          <w:bottom w:val="single" w:sz="4" w:space="4" w:color="BDD7EE"/>
        </w:pBdr>
        <w:spacing w:before="320" w:after="100"/>
      </w:pPr>
      <w:r>
        <w:rPr>
          <w:b/>
          <w:bCs/>
          <w:color w:val="2E75B6"/>
          <w:sz w:val="28"/>
          <w:szCs w:val="28"/>
        </w:rPr>
        <w:t>2. Introducción y marco institucional</w:t>
      </w:r>
    </w:p>
    <w:p w14:paraId="3AB29155" w14:textId="6FDF29DF" w:rsidR="008B4091" w:rsidRDefault="00F5387D">
      <w:pPr>
        <w:spacing w:before="80" w:after="160" w:line="320" w:lineRule="auto"/>
        <w:jc w:val="both"/>
      </w:pPr>
      <w:r>
        <w:lastRenderedPageBreak/>
        <w:t>En el marco de las políticas de internacionalización impulsadas por la Universidad del Museo Social Argentino (UMSA), la Cátedra de Interpretación Simultánea de la Carrera de Intérprete de Conferencia en Idioma Inglés llevó a cabo una actividad de intercambio académico y cultural con alumnos</w:t>
      </w:r>
      <w:r w:rsidR="0016719C">
        <w:t xml:space="preserve"> de la Facultad de Lenguas Modernas</w:t>
      </w:r>
      <w:r>
        <w:t xml:space="preserve"> del </w:t>
      </w:r>
      <w:proofErr w:type="spellStart"/>
      <w:r>
        <w:t>Collège</w:t>
      </w:r>
      <w:proofErr w:type="spellEnd"/>
      <w:r>
        <w:t xml:space="preserve"> Montmorency, institución de enseñanza superior ubicada en la ciudad de Laval, provincia de Quebec, Canadá.</w:t>
      </w:r>
    </w:p>
    <w:p w14:paraId="6F7E376D" w14:textId="08A3B082" w:rsidR="008B4091" w:rsidRDefault="00F5387D">
      <w:pPr>
        <w:spacing w:before="80" w:after="160" w:line="320" w:lineRule="auto"/>
        <w:jc w:val="both"/>
      </w:pPr>
      <w:r>
        <w:t xml:space="preserve">La actividad se enmarcó dentro de un programa de internacionalización del currículo que busca fortalecer las competencias interculturales, comunicativas y profesionales de </w:t>
      </w:r>
      <w:r w:rsidR="0016719C">
        <w:t>nuestros alumnos</w:t>
      </w:r>
      <w:r>
        <w:t>, preparándolos para desempeñarse en entornos de trabajo globalizados y multiculturales. Asimismo, la modalidad virtual adoptada permitió superar las barreras geográficas y económicas, haciendo posible el encuentro entre comunidades estudiantiles de dos continentes distintos.</w:t>
      </w:r>
    </w:p>
    <w:p w14:paraId="582150B9" w14:textId="175D8977" w:rsidR="008B4091" w:rsidRDefault="00F5387D">
      <w:pPr>
        <w:spacing w:before="80" w:after="160" w:line="320" w:lineRule="auto"/>
        <w:jc w:val="both"/>
      </w:pPr>
      <w:r>
        <w:t xml:space="preserve">El </w:t>
      </w:r>
      <w:proofErr w:type="spellStart"/>
      <w:r>
        <w:t>Collège</w:t>
      </w:r>
      <w:proofErr w:type="spellEnd"/>
      <w:r>
        <w:t xml:space="preserve"> Montmorency es reconocido por su trayectoria en la formación de </w:t>
      </w:r>
      <w:r w:rsidR="006305E6">
        <w:t xml:space="preserve">estudiantes de </w:t>
      </w:r>
      <w:r w:rsidR="00BB63C0">
        <w:t>lenguas modernas</w:t>
      </w:r>
      <w:r>
        <w:t xml:space="preserve"> en el contexto del bilingüismo canadiense, lo cual convierte a esta institución en un interlocutor académico de gran valor para los estudiantes de UMSA, quienes pudieron contrastar su propia realidad formativa con la de sus pares del hemisferio norte.</w:t>
      </w:r>
    </w:p>
    <w:p w14:paraId="1122BA6D" w14:textId="77777777" w:rsidR="008B4091" w:rsidRDefault="00F5387D">
      <w:pPr>
        <w:pBdr>
          <w:bottom w:val="single" w:sz="4" w:space="4" w:color="BDD7EE"/>
        </w:pBdr>
        <w:spacing w:before="320" w:after="100"/>
      </w:pPr>
      <w:r>
        <w:rPr>
          <w:b/>
          <w:bCs/>
          <w:color w:val="2E75B6"/>
          <w:sz w:val="28"/>
          <w:szCs w:val="28"/>
        </w:rPr>
        <w:t>3. Objetivos de la actividad</w:t>
      </w:r>
    </w:p>
    <w:p w14:paraId="7C56ACAE" w14:textId="77777777" w:rsidR="008B4091" w:rsidRDefault="008B4091">
      <w:pPr>
        <w:spacing w:after="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B4091" w14:paraId="28BE9A7E" w14:textId="77777777">
        <w:tc>
          <w:tcPr>
            <w:tcW w:w="9360" w:type="dxa"/>
            <w:tcBorders>
              <w:top w:val="single" w:sz="1" w:space="0" w:color="BDD7EE"/>
              <w:left w:val="single" w:sz="1" w:space="0" w:color="BDD7EE"/>
              <w:bottom w:val="single" w:sz="1" w:space="0" w:color="BDD7EE"/>
              <w:right w:val="single" w:sz="1" w:space="0" w:color="BDD7EE"/>
            </w:tcBorders>
            <w:shd w:val="clear" w:color="auto" w:fill="EBF3FB"/>
            <w:tcMar>
              <w:top w:w="120" w:type="dxa"/>
              <w:left w:w="200" w:type="dxa"/>
              <w:bottom w:w="120" w:type="dxa"/>
              <w:right w:w="200" w:type="dxa"/>
            </w:tcMar>
          </w:tcPr>
          <w:p w14:paraId="242B7B2F" w14:textId="77777777" w:rsidR="008B4091" w:rsidRDefault="00F5387D">
            <w:pPr>
              <w:spacing w:after="80"/>
            </w:pPr>
            <w:r>
              <w:rPr>
                <w:b/>
                <w:bCs/>
                <w:color w:val="1F4E79"/>
                <w:sz w:val="22"/>
                <w:szCs w:val="22"/>
              </w:rPr>
              <w:t>Objetivo general</w:t>
            </w:r>
          </w:p>
          <w:p w14:paraId="33218A2C" w14:textId="100C08C9" w:rsidR="008B4091" w:rsidRDefault="00F5387D">
            <w:pPr>
              <w:spacing w:line="300" w:lineRule="auto"/>
              <w:jc w:val="both"/>
            </w:pPr>
            <w:r>
              <w:rPr>
                <w:sz w:val="22"/>
                <w:szCs w:val="22"/>
              </w:rPr>
              <w:t>Promover el intercambio académico y cultural entre estudiantes de interpretación simultánea de Argentina y</w:t>
            </w:r>
            <w:r w:rsidR="006305E6">
              <w:rPr>
                <w:sz w:val="22"/>
                <w:szCs w:val="22"/>
              </w:rPr>
              <w:t xml:space="preserve"> estudiantes de </w:t>
            </w:r>
            <w:r w:rsidR="00BB63C0">
              <w:rPr>
                <w:sz w:val="22"/>
                <w:szCs w:val="22"/>
              </w:rPr>
              <w:t>la Facultad de Lenguas Modernas</w:t>
            </w:r>
            <w:r w:rsidR="006305E6">
              <w:rPr>
                <w:sz w:val="22"/>
                <w:szCs w:val="22"/>
              </w:rPr>
              <w:t xml:space="preserve"> de Quebec,</w:t>
            </w:r>
            <w:r>
              <w:rPr>
                <w:sz w:val="22"/>
                <w:szCs w:val="22"/>
              </w:rPr>
              <w:t xml:space="preserve"> Canadá, fortaleciendo las competencias interculturales e identitarias de ambas comunidades estudiantiles a través del uso de herramientas digitales.</w:t>
            </w:r>
          </w:p>
        </w:tc>
      </w:tr>
    </w:tbl>
    <w:p w14:paraId="3339ABD1" w14:textId="77777777" w:rsidR="008B4091" w:rsidRDefault="008B4091">
      <w:pPr>
        <w:spacing w:after="120"/>
      </w:pPr>
    </w:p>
    <w:p w14:paraId="468134D0" w14:textId="77777777" w:rsidR="008B4091" w:rsidRDefault="00F5387D">
      <w:pPr>
        <w:spacing w:before="80" w:after="160" w:line="320" w:lineRule="auto"/>
        <w:jc w:val="both"/>
      </w:pPr>
      <w:r>
        <w:rPr>
          <w:b/>
          <w:bCs/>
        </w:rPr>
        <w:t>Objetivos específicos:</w:t>
      </w:r>
    </w:p>
    <w:p w14:paraId="65D3D8C4" w14:textId="518D72D7" w:rsidR="008B4091" w:rsidRDefault="00F5387D">
      <w:pPr>
        <w:pStyle w:val="Paragraphedeliste"/>
        <w:numPr>
          <w:ilvl w:val="0"/>
          <w:numId w:val="2"/>
        </w:numPr>
        <w:spacing w:before="60" w:after="60" w:line="300" w:lineRule="auto"/>
      </w:pPr>
      <w:r>
        <w:t xml:space="preserve">Fomentar el conocimiento mutuo de los aspectos culturales, sociales y educativos de </w:t>
      </w:r>
      <w:r w:rsidR="0016719C">
        <w:t xml:space="preserve">Bueno Aires, </w:t>
      </w:r>
      <w:r>
        <w:t>Argentina y</w:t>
      </w:r>
      <w:r w:rsidR="006305E6">
        <w:t xml:space="preserve"> Quebec,</w:t>
      </w:r>
      <w:r>
        <w:t xml:space="preserve"> Canadá entre los alumnos participantes.</w:t>
      </w:r>
    </w:p>
    <w:p w14:paraId="0B2FC2CE" w14:textId="77777777" w:rsidR="008B4091" w:rsidRDefault="00F5387D">
      <w:pPr>
        <w:pStyle w:val="Paragraphedeliste"/>
        <w:numPr>
          <w:ilvl w:val="0"/>
          <w:numId w:val="2"/>
        </w:numPr>
        <w:spacing w:before="60" w:after="60" w:line="300" w:lineRule="auto"/>
      </w:pPr>
      <w:r>
        <w:t xml:space="preserve">Desarrollar la capacidad de comunicación intercultural en contextos virtuales y </w:t>
      </w:r>
      <w:proofErr w:type="spellStart"/>
      <w:r>
        <w:t>plurilingüísticos</w:t>
      </w:r>
      <w:proofErr w:type="spellEnd"/>
      <w:r>
        <w:t>.</w:t>
      </w:r>
    </w:p>
    <w:p w14:paraId="42510605" w14:textId="77777777" w:rsidR="008B4091" w:rsidRDefault="00F5387D">
      <w:pPr>
        <w:pStyle w:val="Paragraphedeliste"/>
        <w:numPr>
          <w:ilvl w:val="0"/>
          <w:numId w:val="2"/>
        </w:numPr>
        <w:spacing w:before="60" w:after="60" w:line="300" w:lineRule="auto"/>
      </w:pPr>
      <w:r>
        <w:t>Estimular la producción audiovisual como herramienta de difusión cultural y académica.</w:t>
      </w:r>
    </w:p>
    <w:p w14:paraId="3960B599" w14:textId="77777777" w:rsidR="008B4091" w:rsidRDefault="00F5387D">
      <w:pPr>
        <w:pStyle w:val="Paragraphedeliste"/>
        <w:numPr>
          <w:ilvl w:val="0"/>
          <w:numId w:val="2"/>
        </w:numPr>
        <w:spacing w:before="60" w:after="60" w:line="300" w:lineRule="auto"/>
      </w:pPr>
      <w:r>
        <w:lastRenderedPageBreak/>
        <w:t>Generar instancias de reflexión colectiva sobre la vida estudiantil y juvenil en distintos contextos geográficos y socioeducativos.</w:t>
      </w:r>
    </w:p>
    <w:p w14:paraId="4E2388DF" w14:textId="72FAF2FA" w:rsidR="008B4091" w:rsidRDefault="00F5387D">
      <w:pPr>
        <w:pStyle w:val="Paragraphedeliste"/>
        <w:numPr>
          <w:ilvl w:val="0"/>
          <w:numId w:val="2"/>
        </w:numPr>
        <w:spacing w:before="60" w:after="60" w:line="300" w:lineRule="auto"/>
      </w:pPr>
      <w:r>
        <w:t>Promover la escritura académica</w:t>
      </w:r>
      <w:r w:rsidR="006305E6">
        <w:t xml:space="preserve"> </w:t>
      </w:r>
      <w:r>
        <w:t xml:space="preserve">mediante la elaboración de informes de reflexión </w:t>
      </w:r>
      <w:proofErr w:type="spellStart"/>
      <w:r>
        <w:t>post-actividad</w:t>
      </w:r>
      <w:proofErr w:type="spellEnd"/>
      <w:r>
        <w:t>.</w:t>
      </w:r>
    </w:p>
    <w:p w14:paraId="4446A821" w14:textId="77777777" w:rsidR="008B4091" w:rsidRDefault="00F5387D">
      <w:pPr>
        <w:pBdr>
          <w:bottom w:val="single" w:sz="4" w:space="4" w:color="BDD7EE"/>
        </w:pBdr>
        <w:spacing w:before="320" w:after="100"/>
      </w:pPr>
      <w:r>
        <w:rPr>
          <w:b/>
          <w:bCs/>
          <w:color w:val="2E75B6"/>
          <w:sz w:val="28"/>
          <w:szCs w:val="28"/>
        </w:rPr>
        <w:t>4. Metodología y desarrollo de la actividad</w:t>
      </w:r>
    </w:p>
    <w:p w14:paraId="65ACE103" w14:textId="77777777" w:rsidR="008B4091" w:rsidRDefault="00F5387D">
      <w:pPr>
        <w:spacing w:before="80" w:after="160" w:line="320" w:lineRule="auto"/>
        <w:jc w:val="both"/>
      </w:pPr>
      <w:r>
        <w:t>La actividad se organizó en tres etapas secuenciadas, diseñadas para garantizar la progresión del intercambio y la participación activa de los estudiantes de ambas instituciones.</w:t>
      </w:r>
    </w:p>
    <w:p w14:paraId="344126ED" w14:textId="2048515D" w:rsidR="008B4091" w:rsidRDefault="00F5387D">
      <w:pPr>
        <w:spacing w:before="160" w:after="80"/>
      </w:pPr>
      <w:r>
        <w:rPr>
          <w:b/>
          <w:bCs/>
          <w:color w:val="1F4E79"/>
          <w:sz w:val="26"/>
          <w:szCs w:val="26"/>
        </w:rPr>
        <w:t>4.1 Primera etapa: Producción audiovisual</w:t>
      </w:r>
    </w:p>
    <w:p w14:paraId="23D5B04A" w14:textId="3E9FAF42" w:rsidR="00BB63C0" w:rsidRDefault="00F5387D">
      <w:pPr>
        <w:spacing w:before="80" w:after="160" w:line="320" w:lineRule="auto"/>
        <w:jc w:val="both"/>
      </w:pPr>
      <w:r>
        <w:t>En la primera etapa, los alumnos de ambas instituciones</w:t>
      </w:r>
      <w:r w:rsidR="00BB63C0">
        <w:t xml:space="preserve"> se reunieron en un primer encuentro virtual para realizar un primer contacto social y para ajustar aspectos tecnológicos del aula virtual</w:t>
      </w:r>
      <w:r w:rsidR="00DD2829" w:rsidRPr="00DD2829">
        <w:rPr>
          <w:highlight w:val="yellow"/>
        </w:rPr>
        <w:t>.</w:t>
      </w:r>
    </w:p>
    <w:p w14:paraId="7EBB9BB7" w14:textId="74BDDC4B" w:rsidR="008B4091" w:rsidRDefault="00F5387D">
      <w:pPr>
        <w:spacing w:before="160" w:after="80"/>
      </w:pPr>
      <w:r>
        <w:rPr>
          <w:b/>
          <w:bCs/>
          <w:color w:val="1F4E79"/>
          <w:sz w:val="26"/>
          <w:szCs w:val="26"/>
        </w:rPr>
        <w:t xml:space="preserve">4.2 Segunda etapa: </w:t>
      </w:r>
      <w:r w:rsidR="00BB63C0">
        <w:rPr>
          <w:b/>
          <w:bCs/>
          <w:color w:val="1F4E79"/>
          <w:sz w:val="26"/>
          <w:szCs w:val="26"/>
        </w:rPr>
        <w:t>elaboración</w:t>
      </w:r>
      <w:r>
        <w:rPr>
          <w:b/>
          <w:bCs/>
          <w:color w:val="1F4E79"/>
          <w:sz w:val="26"/>
          <w:szCs w:val="26"/>
        </w:rPr>
        <w:t xml:space="preserve"> de videos</w:t>
      </w:r>
    </w:p>
    <w:p w14:paraId="0B5D33C7" w14:textId="29E16161" w:rsidR="00BB63C0" w:rsidRDefault="00BB63C0" w:rsidP="00BB63C0">
      <w:pPr>
        <w:spacing w:before="80" w:after="160" w:line="320" w:lineRule="auto"/>
        <w:jc w:val="both"/>
      </w:pPr>
      <w:r>
        <w:t>Los alumnos del Collège Montmorency produjeron videos con contenido original y diverso: desde presentaciones sobre tradiciones culinarias, festividades y música popular, hasta reflexiones sobre el sistema educativo</w:t>
      </w:r>
      <w:r w:rsidR="00176EB6">
        <w:t>:</w:t>
      </w:r>
      <w:r>
        <w:t xml:space="preserve">  la cotidianidad de la vida estudiantil</w:t>
      </w:r>
      <w:r w:rsidR="00176EB6">
        <w:t xml:space="preserve"> en</w:t>
      </w:r>
      <w:r>
        <w:t xml:space="preserve"> </w:t>
      </w:r>
      <w:r w:rsidR="00176EB6">
        <w:t>dicha ciudad, la vida en Quebec durante las estaciones más extremas del año y el bilingüismo francés-inglés quebequense</w:t>
      </w:r>
      <w:r>
        <w:t>.</w:t>
      </w:r>
    </w:p>
    <w:p w14:paraId="119818E9" w14:textId="6DB7DE5A" w:rsidR="00BB63C0" w:rsidRDefault="00BB63C0" w:rsidP="00BB63C0">
      <w:pPr>
        <w:spacing w:before="80" w:after="160" w:line="320" w:lineRule="auto"/>
        <w:jc w:val="both"/>
      </w:pPr>
      <w:r>
        <w:t>Los alumnos de UMSA exploraron, entre otros temas, las características de Buenos Aires y algunos barrios emblemáticos, la cultura del mate, peculiaridades culinarias, las festividades y festivales, la vida universitaria en UMSA adecuando su presentación al nivel de español de los estudiantes quebequenses, ya que fue</w:t>
      </w:r>
      <w:r w:rsidR="004D05F9">
        <w:t>ron</w:t>
      </w:r>
      <w:r>
        <w:t xml:space="preserve"> el español rioplatense y español peninsular las variedades lingüísticas de contacto. </w:t>
      </w:r>
    </w:p>
    <w:p w14:paraId="7E51BFCD" w14:textId="67461110" w:rsidR="008B4091" w:rsidRDefault="004D05F9">
      <w:pPr>
        <w:spacing w:before="80" w:after="160" w:line="320" w:lineRule="auto"/>
        <w:jc w:val="both"/>
      </w:pPr>
      <w:r>
        <w:t>L</w:t>
      </w:r>
      <w:r w:rsidR="00F5387D">
        <w:t>os videos producidos por ambas instituciones fueron compartidos e intercambiados de forma virtual.</w:t>
      </w:r>
    </w:p>
    <w:p w14:paraId="7F489C13" w14:textId="5B3A42FB" w:rsidR="008B4091" w:rsidRDefault="00F5387D">
      <w:pPr>
        <w:spacing w:before="160" w:after="80"/>
      </w:pPr>
      <w:r>
        <w:rPr>
          <w:b/>
          <w:bCs/>
          <w:color w:val="1F4E79"/>
          <w:sz w:val="26"/>
          <w:szCs w:val="26"/>
        </w:rPr>
        <w:t>4.3 Tercera etapa: Encuentros virtuales grupales</w:t>
      </w:r>
    </w:p>
    <w:p w14:paraId="1F988CD3" w14:textId="2FBA9812" w:rsidR="008B4091" w:rsidRDefault="00F5387D">
      <w:pPr>
        <w:spacing w:before="80" w:after="160" w:line="320" w:lineRule="auto"/>
        <w:jc w:val="both"/>
      </w:pPr>
      <w:r>
        <w:t>La tercera etapa consistió en reuniones virtuales grupales entre los alumnos de ambas instituciones. Estas instancias de encuentro, facilitadas por la tecnología de videoconferencia, tuvieron un carácter informal y espontáneo lo que favoreció un diálogo abierto y fluido sobre temáticas diversas vinculadas a la vida estudiantil y juvenil. Los participantes pudieron conversar sobre sus rutinas académicas, sus tradiciones culturales cotidianas</w:t>
      </w:r>
      <w:r w:rsidR="00176EB6">
        <w:t xml:space="preserve"> entre otros temas de índole social</w:t>
      </w:r>
      <w:r>
        <w:t>.</w:t>
      </w:r>
    </w:p>
    <w:p w14:paraId="3A5F414F" w14:textId="77777777" w:rsidR="008B4091" w:rsidRDefault="00F5387D">
      <w:pPr>
        <w:spacing w:before="80" w:after="160" w:line="320" w:lineRule="auto"/>
        <w:jc w:val="both"/>
      </w:pPr>
      <w:r>
        <w:lastRenderedPageBreak/>
        <w:t>La virtualidad demostró ser una herramienta poderosa para la internacionalización del currículo, eliminando las barreras geográficas y económicas que en otros contextos hubieran imposibilitado este tipo de encuentro. Los alumnos valoraron muy positivamente la posibilidad de interactuar en tiempo real con estudiantes de otra cultura y de otro sistema educativo, ampliando así su horizonte de referencia tanto académico como personal.</w:t>
      </w:r>
    </w:p>
    <w:p w14:paraId="7359588D" w14:textId="77777777" w:rsidR="008B4091" w:rsidRDefault="00F5387D">
      <w:pPr>
        <w:pBdr>
          <w:bottom w:val="single" w:sz="4" w:space="4" w:color="BDD7EE"/>
        </w:pBdr>
        <w:spacing w:before="320" w:after="100"/>
      </w:pPr>
      <w:r>
        <w:rPr>
          <w:b/>
          <w:bCs/>
          <w:color w:val="2E75B6"/>
          <w:sz w:val="28"/>
          <w:szCs w:val="28"/>
        </w:rPr>
        <w:t>5. Contenidos abordados en el intercambio</w:t>
      </w:r>
    </w:p>
    <w:p w14:paraId="45A705CB" w14:textId="77777777" w:rsidR="008B4091" w:rsidRDefault="00F5387D">
      <w:pPr>
        <w:spacing w:before="80" w:after="160" w:line="320" w:lineRule="auto"/>
        <w:jc w:val="both"/>
      </w:pPr>
      <w:r>
        <w:t>A lo largo de las distintas etapas de la actividad, los temas trabajados giraron en torno a los siguientes ejes temáticos:</w:t>
      </w:r>
    </w:p>
    <w:p w14:paraId="33961E3B" w14:textId="2468C31B" w:rsidR="008B4091" w:rsidRDefault="00F5387D">
      <w:pPr>
        <w:pStyle w:val="Paragraphedeliste"/>
        <w:numPr>
          <w:ilvl w:val="0"/>
          <w:numId w:val="2"/>
        </w:numPr>
        <w:spacing w:before="60" w:after="60" w:line="300" w:lineRule="auto"/>
      </w:pPr>
      <w:r>
        <w:t>Identidad cultural y patrimonio: tradiciones, gastronomía, música, arte y festividades propias de cada país y región.</w:t>
      </w:r>
    </w:p>
    <w:p w14:paraId="0FCAD137" w14:textId="77777777" w:rsidR="008B4091" w:rsidRDefault="00F5387D">
      <w:pPr>
        <w:pStyle w:val="Paragraphedeliste"/>
        <w:numPr>
          <w:ilvl w:val="0"/>
          <w:numId w:val="2"/>
        </w:numPr>
        <w:spacing w:before="60" w:after="60" w:line="300" w:lineRule="auto"/>
      </w:pPr>
      <w:r>
        <w:t>Vida estudiantil y juventud: rutinas cotidianas, acceso a la cultura, ocio, vínculos sociales y experiencias comunes a jóvenes de ambos países.</w:t>
      </w:r>
    </w:p>
    <w:p w14:paraId="72C8E8CB" w14:textId="77777777" w:rsidR="008B4091" w:rsidRDefault="00F5387D">
      <w:pPr>
        <w:pStyle w:val="Paragraphedeliste"/>
        <w:numPr>
          <w:ilvl w:val="0"/>
          <w:numId w:val="2"/>
        </w:numPr>
        <w:spacing w:before="60" w:after="60" w:line="300" w:lineRule="auto"/>
      </w:pPr>
      <w:r>
        <w:t>Plurilingüismo e identidad lingüística: reflexiones sobre el bilingüismo francés-inglés en Quebec y el multilingüismo implícito en la práctica de la interpretación en Argentina.</w:t>
      </w:r>
    </w:p>
    <w:p w14:paraId="2097AE55" w14:textId="77777777" w:rsidR="008B4091" w:rsidRDefault="00F5387D">
      <w:pPr>
        <w:pBdr>
          <w:bottom w:val="single" w:sz="4" w:space="4" w:color="BDD7EE"/>
        </w:pBdr>
        <w:spacing w:before="320" w:after="100"/>
      </w:pPr>
      <w:r>
        <w:rPr>
          <w:b/>
          <w:bCs/>
          <w:color w:val="2E75B6"/>
          <w:sz w:val="28"/>
          <w:szCs w:val="28"/>
        </w:rPr>
        <w:t>6. Participantes</w:t>
      </w:r>
    </w:p>
    <w:p w14:paraId="7607ACA5" w14:textId="1CD2794A" w:rsidR="008B4091" w:rsidRDefault="00F5387D">
      <w:pPr>
        <w:spacing w:before="80" w:after="160" w:line="320" w:lineRule="auto"/>
        <w:jc w:val="both"/>
      </w:pPr>
      <w:r>
        <w:t xml:space="preserve">La actividad contó con la participación de los alumnos de tercer año de la Cátedra de Interpretación Simultánea de la Carrera de Intérprete de Conferencia en Idioma Inglés de UMSA, bajo la coordinación académica de la docente titular de la cátedra, y de los alumnos de </w:t>
      </w:r>
      <w:r w:rsidR="00DD2829" w:rsidRPr="00DD2829">
        <w:rPr>
          <w:highlight w:val="yellow"/>
        </w:rPr>
        <w:t>segundo</w:t>
      </w:r>
      <w:r>
        <w:t xml:space="preserve"> año del programa de </w:t>
      </w:r>
      <w:r w:rsidR="00DD2829" w:rsidRPr="00DD2829">
        <w:rPr>
          <w:highlight w:val="yellow"/>
        </w:rPr>
        <w:t>lenguas</w:t>
      </w:r>
      <w:r>
        <w:t xml:space="preserve"> del </w:t>
      </w:r>
      <w:proofErr w:type="spellStart"/>
      <w:r>
        <w:t>Collège</w:t>
      </w:r>
      <w:proofErr w:type="spellEnd"/>
      <w:r>
        <w:t xml:space="preserve"> Montmorency, con la coordinación de la docente responsable del área de </w:t>
      </w:r>
      <w:r w:rsidR="00176EB6">
        <w:t xml:space="preserve">español como </w:t>
      </w:r>
      <w:r w:rsidR="00DD2829" w:rsidRPr="00DD2829">
        <w:rPr>
          <w:highlight w:val="yellow"/>
        </w:rPr>
        <w:t>lengua extranjera</w:t>
      </w:r>
      <w:r>
        <w:t xml:space="preserve"> de dicha institución.</w:t>
      </w:r>
    </w:p>
    <w:p w14:paraId="1F7737DF" w14:textId="77777777" w:rsidR="008B4091" w:rsidRDefault="00F5387D">
      <w:pPr>
        <w:spacing w:before="80" w:after="160" w:line="320" w:lineRule="auto"/>
        <w:jc w:val="both"/>
      </w:pPr>
      <w:r>
        <w:t>La colaboración interinstitucional fue impulsada desde las respectivas áreas de internacionalización y coordinada de manera conjunta entre las docentes responsables, quienes establecieron los lineamientos metodológicos, los plazos de entrega y las pautas de producción de los materiales audiovisuales.</w:t>
      </w:r>
    </w:p>
    <w:p w14:paraId="3BA7184A" w14:textId="77777777" w:rsidR="008B4091" w:rsidRDefault="00F5387D">
      <w:pPr>
        <w:pBdr>
          <w:bottom w:val="single" w:sz="4" w:space="4" w:color="BDD7EE"/>
        </w:pBdr>
        <w:spacing w:before="320" w:after="100"/>
      </w:pPr>
      <w:r>
        <w:rPr>
          <w:b/>
          <w:bCs/>
          <w:color w:val="2E75B6"/>
          <w:sz w:val="28"/>
          <w:szCs w:val="28"/>
        </w:rPr>
        <w:t>7. Resultados y aprendizajes obtenidos</w:t>
      </w:r>
    </w:p>
    <w:p w14:paraId="145BA427" w14:textId="77777777" w:rsidR="008B4091" w:rsidRDefault="00F5387D">
      <w:pPr>
        <w:spacing w:before="80" w:after="160" w:line="320" w:lineRule="auto"/>
        <w:jc w:val="both"/>
      </w:pPr>
      <w:r>
        <w:t>La actividad de internacionalización arrojó resultados sumamente positivos en múltiples dimensiones:</w:t>
      </w:r>
    </w:p>
    <w:p w14:paraId="1AB53AC5" w14:textId="77777777" w:rsidR="008B4091" w:rsidRDefault="008B4091">
      <w:pPr>
        <w:spacing w:after="8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B4091" w14:paraId="57582B39" w14:textId="77777777">
        <w:tc>
          <w:tcPr>
            <w:tcW w:w="9360" w:type="dxa"/>
            <w:tcBorders>
              <w:top w:val="single" w:sz="1" w:space="0" w:color="BDD7EE"/>
              <w:left w:val="single" w:sz="1" w:space="0" w:color="BDD7EE"/>
              <w:bottom w:val="single" w:sz="1" w:space="0" w:color="BDD7EE"/>
              <w:right w:val="single" w:sz="1" w:space="0" w:color="BDD7EE"/>
            </w:tcBorders>
            <w:shd w:val="clear" w:color="auto" w:fill="EBF3FB"/>
            <w:tcMar>
              <w:top w:w="120" w:type="dxa"/>
              <w:left w:w="200" w:type="dxa"/>
              <w:bottom w:w="120" w:type="dxa"/>
              <w:right w:w="200" w:type="dxa"/>
            </w:tcMar>
          </w:tcPr>
          <w:p w14:paraId="359C5FCC" w14:textId="77777777" w:rsidR="008B4091" w:rsidRDefault="00F5387D">
            <w:pPr>
              <w:spacing w:after="80"/>
            </w:pPr>
            <w:r>
              <w:rPr>
                <w:b/>
                <w:bCs/>
                <w:color w:val="1F4E79"/>
                <w:sz w:val="22"/>
                <w:szCs w:val="22"/>
              </w:rPr>
              <w:lastRenderedPageBreak/>
              <w:t>Dimensión intercultural</w:t>
            </w:r>
          </w:p>
          <w:p w14:paraId="4B13F2D8" w14:textId="4D2CE820" w:rsidR="008B4091" w:rsidRDefault="00F5387D">
            <w:pPr>
              <w:spacing w:line="300" w:lineRule="auto"/>
              <w:jc w:val="both"/>
            </w:pPr>
            <w:r>
              <w:rPr>
                <w:sz w:val="22"/>
                <w:szCs w:val="22"/>
              </w:rPr>
              <w:t>Los alumnos ampliaron significativamente su conocimiento sobre la cultura, el sistema educativo y la realidad social de Canadá —con especial énfasis en la provincia de Quebec—, y a la vez reflexionaron sobre su propia identidad cultural argentina al verse interpelados por la mirada de sus pares</w:t>
            </w:r>
            <w:r w:rsidR="004D05F9">
              <w:rPr>
                <w:sz w:val="22"/>
                <w:szCs w:val="22"/>
              </w:rPr>
              <w:t xml:space="preserve"> canadienses</w:t>
            </w:r>
            <w:r>
              <w:rPr>
                <w:sz w:val="22"/>
                <w:szCs w:val="22"/>
              </w:rPr>
              <w:t>.</w:t>
            </w:r>
          </w:p>
        </w:tc>
      </w:tr>
    </w:tbl>
    <w:p w14:paraId="6C7F12FB" w14:textId="77777777" w:rsidR="008B4091" w:rsidRDefault="008B4091">
      <w:pPr>
        <w:spacing w:after="10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B4091" w14:paraId="533A371B" w14:textId="77777777">
        <w:tc>
          <w:tcPr>
            <w:tcW w:w="9360" w:type="dxa"/>
            <w:tcBorders>
              <w:top w:val="single" w:sz="1" w:space="0" w:color="BDD7EE"/>
              <w:left w:val="single" w:sz="1" w:space="0" w:color="BDD7EE"/>
              <w:bottom w:val="single" w:sz="1" w:space="0" w:color="BDD7EE"/>
              <w:right w:val="single" w:sz="1" w:space="0" w:color="BDD7EE"/>
            </w:tcBorders>
            <w:shd w:val="clear" w:color="auto" w:fill="EBF3FB"/>
            <w:tcMar>
              <w:top w:w="120" w:type="dxa"/>
              <w:left w:w="200" w:type="dxa"/>
              <w:bottom w:w="120" w:type="dxa"/>
              <w:right w:w="200" w:type="dxa"/>
            </w:tcMar>
          </w:tcPr>
          <w:p w14:paraId="620808E3" w14:textId="77777777" w:rsidR="008B4091" w:rsidRDefault="00F5387D">
            <w:pPr>
              <w:spacing w:after="80"/>
            </w:pPr>
            <w:r>
              <w:rPr>
                <w:b/>
                <w:bCs/>
                <w:color w:val="1F4E79"/>
                <w:sz w:val="22"/>
                <w:szCs w:val="22"/>
              </w:rPr>
              <w:t>Dimensión profesional</w:t>
            </w:r>
          </w:p>
          <w:p w14:paraId="6949E745" w14:textId="0CCBE0E1" w:rsidR="008B4091" w:rsidRDefault="00F5387D">
            <w:pPr>
              <w:spacing w:line="300" w:lineRule="auto"/>
              <w:jc w:val="both"/>
            </w:pPr>
            <w:r>
              <w:rPr>
                <w:sz w:val="22"/>
                <w:szCs w:val="22"/>
              </w:rPr>
              <w:t>El intercambio permitió contrastar las condiciones de formación y de inserción laboral de</w:t>
            </w:r>
            <w:r w:rsidR="00176EB6">
              <w:rPr>
                <w:sz w:val="22"/>
                <w:szCs w:val="22"/>
              </w:rPr>
              <w:t xml:space="preserve"> estudiantes de lenguas modernas en sus diversas orientaciones</w:t>
            </w:r>
            <w:r>
              <w:rPr>
                <w:sz w:val="22"/>
                <w:szCs w:val="22"/>
              </w:rPr>
              <w:t xml:space="preserve"> en ambos países, enriqueciendo la perspectiva de los alumnos sobre el mercado de l</w:t>
            </w:r>
            <w:r w:rsidR="0016719C">
              <w:rPr>
                <w:sz w:val="22"/>
                <w:szCs w:val="22"/>
              </w:rPr>
              <w:t xml:space="preserve">as lenguas modernas </w:t>
            </w:r>
            <w:r>
              <w:rPr>
                <w:sz w:val="22"/>
                <w:szCs w:val="22"/>
              </w:rPr>
              <w:t>a nivel internacional y los desafíos propios del ejercicio de la profesión en distintos contextos.</w:t>
            </w:r>
          </w:p>
        </w:tc>
      </w:tr>
    </w:tbl>
    <w:p w14:paraId="7B60D601" w14:textId="77777777" w:rsidR="008B4091" w:rsidRDefault="008B4091">
      <w:pPr>
        <w:spacing w:after="10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B4091" w14:paraId="0B10D20E" w14:textId="77777777">
        <w:tc>
          <w:tcPr>
            <w:tcW w:w="9360" w:type="dxa"/>
            <w:tcBorders>
              <w:top w:val="single" w:sz="1" w:space="0" w:color="BDD7EE"/>
              <w:left w:val="single" w:sz="1" w:space="0" w:color="BDD7EE"/>
              <w:bottom w:val="single" w:sz="1" w:space="0" w:color="BDD7EE"/>
              <w:right w:val="single" w:sz="1" w:space="0" w:color="BDD7EE"/>
            </w:tcBorders>
            <w:shd w:val="clear" w:color="auto" w:fill="EBF3FB"/>
            <w:tcMar>
              <w:top w:w="120" w:type="dxa"/>
              <w:left w:w="200" w:type="dxa"/>
              <w:bottom w:w="120" w:type="dxa"/>
              <w:right w:w="200" w:type="dxa"/>
            </w:tcMar>
          </w:tcPr>
          <w:p w14:paraId="4CFEE457" w14:textId="77777777" w:rsidR="008B4091" w:rsidRDefault="00F5387D">
            <w:pPr>
              <w:spacing w:after="80"/>
            </w:pPr>
            <w:r>
              <w:rPr>
                <w:b/>
                <w:bCs/>
                <w:color w:val="1F4E79"/>
                <w:sz w:val="22"/>
                <w:szCs w:val="22"/>
              </w:rPr>
              <w:t>Dimensión comunicativa y tecnológica</w:t>
            </w:r>
          </w:p>
          <w:p w14:paraId="698AC0BC" w14:textId="77777777" w:rsidR="008B4091" w:rsidRDefault="00F5387D">
            <w:pPr>
              <w:spacing w:line="300" w:lineRule="auto"/>
              <w:jc w:val="both"/>
            </w:pPr>
            <w:r>
              <w:rPr>
                <w:sz w:val="22"/>
                <w:szCs w:val="22"/>
              </w:rPr>
              <w:t>Los estudiantes desarrollaron competencias en comunicación intercultural mediada por tecnología, aprendiendo a gestionar los desafíos propios de la interacción virtual en lengua extranjera: turnos de habla, adecuación del registro, escucha activa y síntesis de la información.</w:t>
            </w:r>
          </w:p>
        </w:tc>
      </w:tr>
    </w:tbl>
    <w:p w14:paraId="1F5709D4" w14:textId="77777777" w:rsidR="008B4091" w:rsidRDefault="008B4091">
      <w:pPr>
        <w:spacing w:after="10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B4091" w14:paraId="2483E9F2" w14:textId="77777777">
        <w:tc>
          <w:tcPr>
            <w:tcW w:w="9360" w:type="dxa"/>
            <w:tcBorders>
              <w:top w:val="single" w:sz="1" w:space="0" w:color="BDD7EE"/>
              <w:left w:val="single" w:sz="1" w:space="0" w:color="BDD7EE"/>
              <w:bottom w:val="single" w:sz="1" w:space="0" w:color="BDD7EE"/>
              <w:right w:val="single" w:sz="1" w:space="0" w:color="BDD7EE"/>
            </w:tcBorders>
            <w:shd w:val="clear" w:color="auto" w:fill="EBF3FB"/>
            <w:tcMar>
              <w:top w:w="120" w:type="dxa"/>
              <w:left w:w="200" w:type="dxa"/>
              <w:bottom w:w="120" w:type="dxa"/>
              <w:right w:w="200" w:type="dxa"/>
            </w:tcMar>
          </w:tcPr>
          <w:p w14:paraId="6920B9F8" w14:textId="77777777" w:rsidR="008B4091" w:rsidRDefault="00F5387D">
            <w:pPr>
              <w:spacing w:after="80"/>
            </w:pPr>
            <w:r>
              <w:rPr>
                <w:b/>
                <w:bCs/>
                <w:color w:val="1F4E79"/>
                <w:sz w:val="22"/>
                <w:szCs w:val="22"/>
              </w:rPr>
              <w:t>Dimensión reflexiva y académica</w:t>
            </w:r>
          </w:p>
          <w:p w14:paraId="278B4287" w14:textId="77777777" w:rsidR="008B4091" w:rsidRDefault="00F5387D">
            <w:pPr>
              <w:spacing w:line="300" w:lineRule="auto"/>
              <w:jc w:val="both"/>
            </w:pPr>
            <w:r>
              <w:rPr>
                <w:sz w:val="22"/>
                <w:szCs w:val="22"/>
              </w:rPr>
              <w:t>Al final de la actividad, los alumnos de UMSA redactaron un informe individual de reflexión sobre la experiencia, ejercitando la escritura académica en lengua española y desarrollando su capacidad de análisis crítico e introspección sobre procesos de aprendizaje situado.</w:t>
            </w:r>
          </w:p>
        </w:tc>
      </w:tr>
    </w:tbl>
    <w:p w14:paraId="73B2A587" w14:textId="77777777" w:rsidR="008B4091" w:rsidRDefault="008B4091">
      <w:pPr>
        <w:spacing w:after="120"/>
      </w:pPr>
    </w:p>
    <w:p w14:paraId="27852A39" w14:textId="77777777" w:rsidR="008B4091" w:rsidRDefault="00F5387D">
      <w:pPr>
        <w:pBdr>
          <w:bottom w:val="single" w:sz="4" w:space="4" w:color="BDD7EE"/>
        </w:pBdr>
        <w:spacing w:before="320" w:after="100"/>
      </w:pPr>
      <w:r>
        <w:rPr>
          <w:b/>
          <w:bCs/>
          <w:color w:val="2E75B6"/>
          <w:sz w:val="28"/>
          <w:szCs w:val="28"/>
        </w:rPr>
        <w:t>8. Informes de reflexión elaborados por los alumnos de UMSA</w:t>
      </w:r>
    </w:p>
    <w:p w14:paraId="3AB1A20D" w14:textId="77777777" w:rsidR="008B4091" w:rsidRDefault="00F5387D">
      <w:pPr>
        <w:spacing w:before="80" w:after="160" w:line="320" w:lineRule="auto"/>
        <w:jc w:val="both"/>
      </w:pPr>
      <w:r>
        <w:t>Al concluir la actividad, cada alumna de UMSA elaboró un informe individual de reflexión en el que dio cuenta de su experiencia personal durante el intercambio. Los informes fueron redactados en lengua española y entregados a la docente titular de la cátedra como instancia de cierre y evaluación de la actividad.</w:t>
      </w:r>
    </w:p>
    <w:p w14:paraId="4BA2A24A" w14:textId="77777777" w:rsidR="008B4091" w:rsidRDefault="00F5387D">
      <w:pPr>
        <w:spacing w:before="80" w:after="160" w:line="320" w:lineRule="auto"/>
        <w:jc w:val="both"/>
      </w:pPr>
      <w:r>
        <w:t>En términos generales, los informes reflejaron un alto grado de involucramiento y valoración positiva de la experiencia por parte de las alumnas. Los aspectos más recurrentes en sus reflexiones fueron los siguientes:</w:t>
      </w:r>
    </w:p>
    <w:p w14:paraId="3938DB5B" w14:textId="77777777" w:rsidR="008B4091" w:rsidRDefault="00F5387D">
      <w:pPr>
        <w:pStyle w:val="Paragraphedeliste"/>
        <w:numPr>
          <w:ilvl w:val="0"/>
          <w:numId w:val="2"/>
        </w:numPr>
        <w:spacing w:before="60" w:after="60" w:line="300" w:lineRule="auto"/>
      </w:pPr>
      <w:r>
        <w:lastRenderedPageBreak/>
        <w:t>La sorpresa y el enriquecimiento producido por el contraste entre la cultura argentina y la cultura quebequense, particularmente en lo referido al bilingüismo, el sistema educativo y las condiciones climáticas y sociales de vida en Canadá.</w:t>
      </w:r>
    </w:p>
    <w:p w14:paraId="5544102B" w14:textId="77777777" w:rsidR="008B4091" w:rsidRDefault="00F5387D">
      <w:pPr>
        <w:pStyle w:val="Paragraphedeliste"/>
        <w:numPr>
          <w:ilvl w:val="0"/>
          <w:numId w:val="2"/>
        </w:numPr>
        <w:spacing w:before="60" w:after="60" w:line="300" w:lineRule="auto"/>
      </w:pPr>
      <w:r>
        <w:t>La toma de conciencia sobre el carácter verdaderamente internacional de la profesión de intérprete, a partir del contacto con pares que comparten la misma vocación en un contexto geopolítico y lingüístico diferente.</w:t>
      </w:r>
    </w:p>
    <w:p w14:paraId="2F2D20DB" w14:textId="77777777" w:rsidR="008B4091" w:rsidRDefault="00F5387D">
      <w:pPr>
        <w:pStyle w:val="Paragraphedeliste"/>
        <w:numPr>
          <w:ilvl w:val="0"/>
          <w:numId w:val="2"/>
        </w:numPr>
        <w:spacing w:before="60" w:after="60" w:line="300" w:lineRule="auto"/>
      </w:pPr>
      <w:r>
        <w:t>La valoración de la virtualidad como herramienta democratizadora del acceso a experiencias de internacionalización, que de otro modo serían inaccesibles para la mayoría de los estudiantes.</w:t>
      </w:r>
    </w:p>
    <w:p w14:paraId="7152463A" w14:textId="77777777" w:rsidR="008B4091" w:rsidRDefault="00F5387D">
      <w:pPr>
        <w:pStyle w:val="Paragraphedeliste"/>
        <w:numPr>
          <w:ilvl w:val="0"/>
          <w:numId w:val="2"/>
        </w:numPr>
        <w:spacing w:before="60" w:after="60" w:line="300" w:lineRule="auto"/>
      </w:pPr>
      <w:r>
        <w:t>Las dificultades y aprendizajes derivados de la comunicación intercultural en entornos digitales: la gestión del tiempo de pantalla, la superación de la timidez inicial y la necesidad de adaptar el propio discurso a un interlocutor de otra cultura.</w:t>
      </w:r>
    </w:p>
    <w:p w14:paraId="7C5D02A6" w14:textId="77777777" w:rsidR="008B4091" w:rsidRDefault="00F5387D">
      <w:pPr>
        <w:pStyle w:val="Paragraphedeliste"/>
        <w:numPr>
          <w:ilvl w:val="0"/>
          <w:numId w:val="2"/>
        </w:numPr>
        <w:spacing w:before="60" w:after="60" w:line="300" w:lineRule="auto"/>
      </w:pPr>
      <w:r>
        <w:t>El impacto positivo de la actividad en la motivación académica y en el sentido de pertenencia a una comunidad de práctica profesional más amplia y diversa.</w:t>
      </w:r>
    </w:p>
    <w:p w14:paraId="173B8395" w14:textId="77777777" w:rsidR="008B4091" w:rsidRDefault="00F5387D">
      <w:pPr>
        <w:pBdr>
          <w:bottom w:val="single" w:sz="4" w:space="4" w:color="BDD7EE"/>
        </w:pBdr>
        <w:spacing w:before="320" w:after="100"/>
      </w:pPr>
      <w:r>
        <w:rPr>
          <w:b/>
          <w:bCs/>
          <w:color w:val="2E75B6"/>
          <w:sz w:val="28"/>
          <w:szCs w:val="28"/>
        </w:rPr>
        <w:t>9. Conclusiones</w:t>
      </w:r>
    </w:p>
    <w:p w14:paraId="6133A68C" w14:textId="6F91A543" w:rsidR="008B4091" w:rsidRDefault="00F5387D">
      <w:pPr>
        <w:spacing w:before="80" w:after="160" w:line="320" w:lineRule="auto"/>
        <w:jc w:val="both"/>
      </w:pPr>
      <w:r>
        <w:t xml:space="preserve">La actividad de internacionalización llevada a cabo entre la Cátedra de Interpretación Simultánea de UMSA y el </w:t>
      </w:r>
      <w:proofErr w:type="spellStart"/>
      <w:r>
        <w:t>Collège</w:t>
      </w:r>
      <w:proofErr w:type="spellEnd"/>
      <w:r>
        <w:t xml:space="preserve"> Montmorency de Quebec constituyó una experiencia pedagógica de alto valor académico, formativo y humano. La combinación de producción audiovisual, proyección compartida y encuentros virtuales grupales permitió articular diferentes modalidades de aprendizaje y de interacción intercultural, enriqueciendo el proceso formativo de los futuros intérpretes de confere</w:t>
      </w:r>
      <w:r w:rsidR="0016719C">
        <w:t xml:space="preserve">ncia de nuestra institución y la posibilidad de los alumnos del </w:t>
      </w:r>
      <w:proofErr w:type="spellStart"/>
      <w:r w:rsidR="0016719C">
        <w:t>Coll</w:t>
      </w:r>
      <w:r w:rsidR="00747C91" w:rsidRPr="00747C91">
        <w:rPr>
          <w:highlight w:val="yellow"/>
        </w:rPr>
        <w:t>è</w:t>
      </w:r>
      <w:r w:rsidR="0016719C">
        <w:t>ge</w:t>
      </w:r>
      <w:proofErr w:type="spellEnd"/>
      <w:r w:rsidR="0016719C">
        <w:t xml:space="preserve"> Montmorency pudieran comparar el español peninsular con el español rioplatense</w:t>
      </w:r>
      <w:r w:rsidR="00747C91" w:rsidRPr="00747C91">
        <w:rPr>
          <w:highlight w:val="yellow"/>
        </w:rPr>
        <w:t>.</w:t>
      </w:r>
    </w:p>
    <w:p w14:paraId="15892446" w14:textId="77777777" w:rsidR="008B4091" w:rsidRDefault="00F5387D">
      <w:pPr>
        <w:spacing w:before="80" w:after="160" w:line="320" w:lineRule="auto"/>
        <w:jc w:val="both"/>
      </w:pPr>
      <w:r>
        <w:t>La virtualidad, lejos de ser un mero recurso de reemplazo, se confirmó como una herramienta genuinamente habilitadora de intercambios que trascienden fronteras geográficas, económicas y culturales. La experiencia demostró que es posible generar encuentros significativos, reflexivos y emocionalmente resonantes a través de pantallas y conexiones digitales, siempre que estén sustentados en un diseño pedagógico sólido y en una intencionalidad formativa clara.</w:t>
      </w:r>
    </w:p>
    <w:p w14:paraId="6B72A21E" w14:textId="15134B4C" w:rsidR="008B4091" w:rsidRDefault="00F5387D" w:rsidP="0016719C">
      <w:pPr>
        <w:spacing w:before="80" w:after="160" w:line="320" w:lineRule="auto"/>
        <w:jc w:val="both"/>
      </w:pPr>
      <w:r>
        <w:t xml:space="preserve">Desde la perspectiva de la formación en interpretación de conferencias, la actividad resultó especialmente pertinente, ya que los futuros intérpretes no solo ejercitaron sus competencias comunicativas en </w:t>
      </w:r>
      <w:r w:rsidR="0016719C">
        <w:t>su propia lengua</w:t>
      </w:r>
      <w:r>
        <w:t xml:space="preserve">, sino que también desarrollaron la </w:t>
      </w:r>
      <w:r>
        <w:lastRenderedPageBreak/>
        <w:t>sensibilidad intercultural, la escucha activa y la capacidad de adaptación que son pilares fundamentales del ejercicio profesional de la interpretación en el mundo contemporáneo.</w:t>
      </w:r>
    </w:p>
    <w:p w14:paraId="27C2555B" w14:textId="77777777" w:rsidR="008B4091" w:rsidRDefault="008B4091">
      <w:pPr>
        <w:spacing w:after="200"/>
      </w:pPr>
    </w:p>
    <w:sectPr w:rsidR="008B4091">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8E30" w14:textId="77777777" w:rsidR="007D784F" w:rsidRDefault="007D784F">
      <w:r>
        <w:separator/>
      </w:r>
    </w:p>
  </w:endnote>
  <w:endnote w:type="continuationSeparator" w:id="0">
    <w:p w14:paraId="5521BC71" w14:textId="77777777" w:rsidR="007D784F" w:rsidRDefault="007D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FA8D" w14:textId="77777777" w:rsidR="008B4091" w:rsidRDefault="00F5387D">
    <w:pPr>
      <w:pBdr>
        <w:top w:val="single" w:sz="4" w:space="4" w:color="2E75B6"/>
      </w:pBdr>
      <w:tabs>
        <w:tab w:val="right" w:pos="9360"/>
      </w:tabs>
      <w:spacing w:before="120"/>
    </w:pPr>
    <w:r>
      <w:rPr>
        <w:color w:val="888888"/>
        <w:sz w:val="18"/>
        <w:szCs w:val="18"/>
      </w:rPr>
      <w:t>Universidad del Museo Social Argentino (UMSA)</w:t>
    </w:r>
    <w:r>
      <w:rPr>
        <w:sz w:val="18"/>
        <w:szCs w:val="18"/>
      </w:rPr>
      <w:tab/>
    </w:r>
    <w:r>
      <w:rPr>
        <w:color w:val="888888"/>
        <w:sz w:val="18"/>
        <w:szCs w:val="18"/>
      </w:rPr>
      <w:t xml:space="preserve">Página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B20E" w14:textId="77777777" w:rsidR="007D784F" w:rsidRDefault="007D784F">
      <w:r>
        <w:separator/>
      </w:r>
    </w:p>
  </w:footnote>
  <w:footnote w:type="continuationSeparator" w:id="0">
    <w:p w14:paraId="218FF138" w14:textId="77777777" w:rsidR="007D784F" w:rsidRDefault="007D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1AB4" w14:textId="7EBBE6B2" w:rsidR="008B4091" w:rsidRDefault="00F5387D">
    <w:pPr>
      <w:pBdr>
        <w:bottom w:val="single" w:sz="4" w:space="4" w:color="2E75B6"/>
      </w:pBdr>
      <w:spacing w:after="120"/>
    </w:pPr>
    <w:r>
      <w:rPr>
        <w:color w:val="666666"/>
        <w:sz w:val="18"/>
        <w:szCs w:val="18"/>
      </w:rPr>
      <w:t xml:space="preserve">Cátedra Interpretación Simultánea — </w:t>
    </w:r>
    <w:proofErr w:type="gramStart"/>
    <w:r>
      <w:rPr>
        <w:color w:val="666666"/>
        <w:sz w:val="18"/>
        <w:szCs w:val="18"/>
      </w:rPr>
      <w:t>UMSA  |</w:t>
    </w:r>
    <w:proofErr w:type="gramEnd"/>
    <w:r>
      <w:rPr>
        <w:color w:val="666666"/>
        <w:sz w:val="18"/>
        <w:szCs w:val="18"/>
      </w:rPr>
      <w:t xml:space="preserve">  Actividad de Internacionalización 202</w:t>
    </w:r>
    <w:r w:rsidR="00747C91" w:rsidRPr="00747C91">
      <w:rPr>
        <w:color w:val="666666"/>
        <w:sz w:val="18"/>
        <w:szCs w:val="18"/>
        <w:highlight w:val="yellow"/>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CFB"/>
    <w:multiLevelType w:val="hybridMultilevel"/>
    <w:tmpl w:val="932EF002"/>
    <w:lvl w:ilvl="0" w:tplc="34889AAA">
      <w:start w:val="1"/>
      <w:numFmt w:val="bullet"/>
      <w:lvlText w:val="●"/>
      <w:lvlJc w:val="left"/>
      <w:pPr>
        <w:ind w:left="720" w:hanging="360"/>
      </w:pPr>
    </w:lvl>
    <w:lvl w:ilvl="1" w:tplc="E9D064A0">
      <w:start w:val="1"/>
      <w:numFmt w:val="bullet"/>
      <w:lvlText w:val="○"/>
      <w:lvlJc w:val="left"/>
      <w:pPr>
        <w:ind w:left="1440" w:hanging="360"/>
      </w:pPr>
    </w:lvl>
    <w:lvl w:ilvl="2" w:tplc="E0D60686">
      <w:start w:val="1"/>
      <w:numFmt w:val="bullet"/>
      <w:lvlText w:val="■"/>
      <w:lvlJc w:val="left"/>
      <w:pPr>
        <w:ind w:left="2160" w:hanging="360"/>
      </w:pPr>
    </w:lvl>
    <w:lvl w:ilvl="3" w:tplc="8E9A3904">
      <w:start w:val="1"/>
      <w:numFmt w:val="bullet"/>
      <w:lvlText w:val="●"/>
      <w:lvlJc w:val="left"/>
      <w:pPr>
        <w:ind w:left="2880" w:hanging="360"/>
      </w:pPr>
    </w:lvl>
    <w:lvl w:ilvl="4" w:tplc="A3BC0BD4">
      <w:start w:val="1"/>
      <w:numFmt w:val="bullet"/>
      <w:lvlText w:val="○"/>
      <w:lvlJc w:val="left"/>
      <w:pPr>
        <w:ind w:left="3600" w:hanging="360"/>
      </w:pPr>
    </w:lvl>
    <w:lvl w:ilvl="5" w:tplc="1DE64282">
      <w:start w:val="1"/>
      <w:numFmt w:val="bullet"/>
      <w:lvlText w:val="■"/>
      <w:lvlJc w:val="left"/>
      <w:pPr>
        <w:ind w:left="4320" w:hanging="360"/>
      </w:pPr>
    </w:lvl>
    <w:lvl w:ilvl="6" w:tplc="F15615D0">
      <w:start w:val="1"/>
      <w:numFmt w:val="bullet"/>
      <w:lvlText w:val="●"/>
      <w:lvlJc w:val="left"/>
      <w:pPr>
        <w:ind w:left="5040" w:hanging="360"/>
      </w:pPr>
    </w:lvl>
    <w:lvl w:ilvl="7" w:tplc="42D0B554">
      <w:start w:val="1"/>
      <w:numFmt w:val="bullet"/>
      <w:lvlText w:val="●"/>
      <w:lvlJc w:val="left"/>
      <w:pPr>
        <w:ind w:left="5760" w:hanging="360"/>
      </w:pPr>
    </w:lvl>
    <w:lvl w:ilvl="8" w:tplc="FCB67A8E">
      <w:start w:val="1"/>
      <w:numFmt w:val="bullet"/>
      <w:lvlText w:val="●"/>
      <w:lvlJc w:val="left"/>
      <w:pPr>
        <w:ind w:left="6480" w:hanging="360"/>
      </w:pPr>
    </w:lvl>
  </w:abstractNum>
  <w:abstractNum w:abstractNumId="1" w15:restartNumberingAfterBreak="0">
    <w:nsid w:val="13782736"/>
    <w:multiLevelType w:val="hybridMultilevel"/>
    <w:tmpl w:val="D46CAB1A"/>
    <w:lvl w:ilvl="0" w:tplc="978EA2DE">
      <w:start w:val="1"/>
      <w:numFmt w:val="bullet"/>
      <w:lvlText w:val="•"/>
      <w:lvlJc w:val="left"/>
      <w:pPr>
        <w:ind w:left="720" w:hanging="360"/>
      </w:pPr>
    </w:lvl>
    <w:lvl w:ilvl="1" w:tplc="9F2609EE">
      <w:numFmt w:val="decimal"/>
      <w:lvlText w:val=""/>
      <w:lvlJc w:val="left"/>
    </w:lvl>
    <w:lvl w:ilvl="2" w:tplc="516E564C">
      <w:numFmt w:val="decimal"/>
      <w:lvlText w:val=""/>
      <w:lvlJc w:val="left"/>
    </w:lvl>
    <w:lvl w:ilvl="3" w:tplc="F6E66B80">
      <w:numFmt w:val="decimal"/>
      <w:lvlText w:val=""/>
      <w:lvlJc w:val="left"/>
    </w:lvl>
    <w:lvl w:ilvl="4" w:tplc="6C86D7D8">
      <w:numFmt w:val="decimal"/>
      <w:lvlText w:val=""/>
      <w:lvlJc w:val="left"/>
    </w:lvl>
    <w:lvl w:ilvl="5" w:tplc="FE42D63C">
      <w:numFmt w:val="decimal"/>
      <w:lvlText w:val=""/>
      <w:lvlJc w:val="left"/>
    </w:lvl>
    <w:lvl w:ilvl="6" w:tplc="6374F738">
      <w:numFmt w:val="decimal"/>
      <w:lvlText w:val=""/>
      <w:lvlJc w:val="left"/>
    </w:lvl>
    <w:lvl w:ilvl="7" w:tplc="D67C0AAC">
      <w:numFmt w:val="decimal"/>
      <w:lvlText w:val=""/>
      <w:lvlJc w:val="left"/>
    </w:lvl>
    <w:lvl w:ilvl="8" w:tplc="B6542832">
      <w:numFmt w:val="decimal"/>
      <w:lvlText w:val=""/>
      <w:lvlJc w:val="left"/>
    </w:lvl>
  </w:abstractNum>
  <w:num w:numId="1" w16cid:durableId="1393624859">
    <w:abstractNumId w:val="0"/>
    <w:lvlOverride w:ilvl="0">
      <w:startOverride w:val="1"/>
    </w:lvlOverride>
  </w:num>
  <w:num w:numId="2" w16cid:durableId="4876690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091"/>
    <w:rsid w:val="0016719C"/>
    <w:rsid w:val="00176EB6"/>
    <w:rsid w:val="00325351"/>
    <w:rsid w:val="004D05F9"/>
    <w:rsid w:val="006305E6"/>
    <w:rsid w:val="00747C91"/>
    <w:rsid w:val="007D784F"/>
    <w:rsid w:val="008B4091"/>
    <w:rsid w:val="00B37CC2"/>
    <w:rsid w:val="00BB63C0"/>
    <w:rsid w:val="00DD2829"/>
    <w:rsid w:val="00F538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CDF7"/>
  <w15:docId w15:val="{F4A1D46A-0875-4995-8EF8-6AFC6877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4"/>
        <w:szCs w:val="24"/>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20" w:after="200"/>
      <w:outlineLvl w:val="0"/>
    </w:pPr>
    <w:rPr>
      <w:b/>
      <w:bCs/>
      <w:color w:val="1F4E79"/>
      <w:sz w:val="32"/>
      <w:szCs w:val="32"/>
    </w:rPr>
  </w:style>
  <w:style w:type="paragraph" w:styleId="Titre2">
    <w:name w:val="heading 2"/>
    <w:uiPriority w:val="9"/>
    <w:semiHidden/>
    <w:unhideWhenUsed/>
    <w:qFormat/>
    <w:pPr>
      <w:spacing w:before="240" w:after="120"/>
      <w:outlineLvl w:val="1"/>
    </w:pPr>
    <w:rPr>
      <w:b/>
      <w:bCs/>
      <w:color w:val="2E75B6"/>
      <w:sz w:val="28"/>
      <w:szCs w:val="28"/>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Textoennegrita1">
    <w:name w:val="Texto en negrita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747C91"/>
    <w:pPr>
      <w:tabs>
        <w:tab w:val="center" w:pos="4320"/>
        <w:tab w:val="right" w:pos="8640"/>
      </w:tabs>
    </w:pPr>
  </w:style>
  <w:style w:type="character" w:customStyle="1" w:styleId="En-tteCar">
    <w:name w:val="En-tête Car"/>
    <w:basedOn w:val="Policepardfaut"/>
    <w:link w:val="En-tte"/>
    <w:uiPriority w:val="99"/>
    <w:rsid w:val="00747C91"/>
  </w:style>
  <w:style w:type="paragraph" w:styleId="Pieddepage">
    <w:name w:val="footer"/>
    <w:basedOn w:val="Normal"/>
    <w:link w:val="PieddepageCar"/>
    <w:uiPriority w:val="99"/>
    <w:unhideWhenUsed/>
    <w:rsid w:val="00747C91"/>
    <w:pPr>
      <w:tabs>
        <w:tab w:val="center" w:pos="4320"/>
        <w:tab w:val="right" w:pos="8640"/>
      </w:tabs>
    </w:pPr>
  </w:style>
  <w:style w:type="character" w:customStyle="1" w:styleId="PieddepageCar">
    <w:name w:val="Pied de page Car"/>
    <w:basedOn w:val="Policepardfaut"/>
    <w:link w:val="Pieddepage"/>
    <w:uiPriority w:val="99"/>
    <w:rsid w:val="007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Jetté, Karine</cp:lastModifiedBy>
  <cp:revision>5</cp:revision>
  <dcterms:created xsi:type="dcterms:W3CDTF">2026-04-16T11:39:00Z</dcterms:created>
  <dcterms:modified xsi:type="dcterms:W3CDTF">2026-04-22T17:20:00Z</dcterms:modified>
</cp:coreProperties>
</file>